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061A" w:rsidRDefault="00D46121">
      <w:pPr>
        <w:pStyle w:val="Style1"/>
        <w:kinsoku w:val="0"/>
        <w:autoSpaceDE/>
        <w:autoSpaceDN/>
        <w:adjustRightInd/>
        <w:spacing w:before="468" w:line="302" w:lineRule="auto"/>
        <w:ind w:left="2448"/>
        <w:rPr>
          <w:b/>
          <w:spacing w:val="-8"/>
          <w:w w:val="105"/>
          <w:sz w:val="23"/>
          <w:szCs w:val="23"/>
          <w:lang w:val="es-ES" w:eastAsia="es-ES"/>
        </w:rPr>
      </w:pPr>
      <w:r w:rsidRPr="009B061A">
        <w:rPr>
          <w:b/>
          <w:spacing w:val="-8"/>
          <w:w w:val="105"/>
          <w:sz w:val="23"/>
          <w:szCs w:val="23"/>
          <w:lang w:val="es-ES" w:eastAsia="es-ES"/>
        </w:rPr>
        <w:t>RESOLUCIÓN No. TAT-</w:t>
      </w:r>
      <w:r w:rsidRPr="009B061A">
        <w:rPr>
          <w:b/>
          <w:spacing w:val="-8"/>
          <w:w w:val="105"/>
          <w:sz w:val="23"/>
          <w:szCs w:val="23"/>
          <w:lang w:val="es-ES" w:eastAsia="es-ES"/>
        </w:rPr>
        <w:t>1</w:t>
      </w:r>
      <w:r w:rsidRPr="009B061A">
        <w:rPr>
          <w:b/>
          <w:spacing w:val="-8"/>
          <w:w w:val="105"/>
          <w:sz w:val="23"/>
          <w:szCs w:val="23"/>
          <w:lang w:val="es-ES" w:eastAsia="es-ES"/>
        </w:rPr>
        <w:t>452-05</w:t>
      </w:r>
    </w:p>
    <w:p w:rsidR="00000000" w:rsidRDefault="00D46121" w:rsidP="004247A8">
      <w:pPr>
        <w:pStyle w:val="Style1"/>
        <w:kinsoku w:val="0"/>
        <w:autoSpaceDE/>
        <w:autoSpaceDN/>
        <w:adjustRightInd/>
        <w:spacing w:before="324"/>
        <w:ind w:left="72" w:right="504"/>
        <w:jc w:val="both"/>
        <w:rPr>
          <w:spacing w:val="-4"/>
          <w:w w:val="105"/>
          <w:sz w:val="23"/>
          <w:szCs w:val="23"/>
          <w:lang w:val="es-ES" w:eastAsia="es-ES"/>
        </w:rPr>
      </w:pPr>
      <w:r>
        <w:rPr>
          <w:spacing w:val="-7"/>
          <w:w w:val="105"/>
          <w:sz w:val="23"/>
          <w:szCs w:val="23"/>
          <w:lang w:val="es-ES" w:eastAsia="es-ES"/>
        </w:rPr>
        <w:t xml:space="preserve">TRIBUNAL ADMINISTRATIVO DE TRANSPORTE. San José, a las catorce horas </w:t>
      </w:r>
      <w:r>
        <w:rPr>
          <w:spacing w:val="-4"/>
          <w:w w:val="105"/>
          <w:sz w:val="23"/>
          <w:szCs w:val="23"/>
          <w:lang w:val="es-ES" w:eastAsia="es-ES"/>
        </w:rPr>
        <w:t>cuarenta y cinco minutos del catorce de diciembre del dos mil cinco.</w:t>
      </w:r>
    </w:p>
    <w:p w:rsidR="00000000" w:rsidRDefault="00D46121">
      <w:pPr>
        <w:pStyle w:val="Style1"/>
        <w:kinsoku w:val="0"/>
        <w:autoSpaceDE/>
        <w:autoSpaceDN/>
        <w:adjustRightInd/>
        <w:spacing w:before="252"/>
        <w:ind w:left="72" w:right="504"/>
        <w:jc w:val="both"/>
        <w:rPr>
          <w:spacing w:val="-5"/>
          <w:w w:val="105"/>
          <w:sz w:val="23"/>
          <w:szCs w:val="23"/>
          <w:lang w:val="es-ES" w:eastAsia="es-ES"/>
        </w:rPr>
      </w:pPr>
      <w:r>
        <w:rPr>
          <w:spacing w:val="-12"/>
          <w:w w:val="105"/>
          <w:sz w:val="23"/>
          <w:szCs w:val="23"/>
          <w:lang w:val="es-ES" w:eastAsia="es-ES"/>
        </w:rPr>
        <w:t xml:space="preserve">Se conoce Recurso de Apelación presentado por </w:t>
      </w:r>
      <w:r w:rsidR="004247A8">
        <w:rPr>
          <w:b/>
          <w:bCs/>
          <w:spacing w:val="-12"/>
          <w:w w:val="105"/>
          <w:sz w:val="19"/>
          <w:szCs w:val="19"/>
          <w:lang w:val="es-ES" w:eastAsia="es-ES"/>
        </w:rPr>
        <w:t>JACM</w:t>
      </w:r>
      <w:r>
        <w:rPr>
          <w:b/>
          <w:bCs/>
          <w:spacing w:val="-12"/>
          <w:w w:val="105"/>
          <w:sz w:val="19"/>
          <w:szCs w:val="19"/>
          <w:lang w:val="es-ES" w:eastAsia="es-ES"/>
        </w:rPr>
        <w:t xml:space="preserve">, </w:t>
      </w:r>
      <w:r>
        <w:rPr>
          <w:spacing w:val="-3"/>
          <w:w w:val="105"/>
          <w:sz w:val="23"/>
          <w:szCs w:val="23"/>
          <w:lang w:val="es-ES" w:eastAsia="es-ES"/>
        </w:rPr>
        <w:t xml:space="preserve">cédula de identidad </w:t>
      </w:r>
      <w:proofErr w:type="gramStart"/>
      <w:r>
        <w:rPr>
          <w:spacing w:val="-3"/>
          <w:w w:val="105"/>
          <w:sz w:val="23"/>
          <w:szCs w:val="23"/>
          <w:lang w:val="es-ES" w:eastAsia="es-ES"/>
        </w:rPr>
        <w:t xml:space="preserve">número </w:t>
      </w:r>
      <w:r w:rsidR="004247A8">
        <w:rPr>
          <w:spacing w:val="-3"/>
          <w:w w:val="105"/>
          <w:sz w:val="23"/>
          <w:szCs w:val="23"/>
          <w:lang w:val="es-ES" w:eastAsia="es-ES"/>
        </w:rPr>
        <w:t>…</w:t>
      </w:r>
      <w:proofErr w:type="gramEnd"/>
      <w:r>
        <w:rPr>
          <w:spacing w:val="-3"/>
          <w:w w:val="105"/>
          <w:sz w:val="23"/>
          <w:szCs w:val="23"/>
          <w:lang w:val="es-ES" w:eastAsia="es-ES"/>
        </w:rPr>
        <w:t xml:space="preserve">, contra la publicación realizada por el Consejo </w:t>
      </w:r>
      <w:r>
        <w:rPr>
          <w:w w:val="105"/>
          <w:sz w:val="23"/>
          <w:szCs w:val="23"/>
          <w:lang w:val="es-ES" w:eastAsia="es-ES"/>
        </w:rPr>
        <w:t xml:space="preserve">de Transporte Público en </w:t>
      </w:r>
      <w:r>
        <w:rPr>
          <w:w w:val="105"/>
          <w:sz w:val="23"/>
          <w:szCs w:val="23"/>
          <w:lang w:val="es-ES" w:eastAsia="es-ES"/>
        </w:rPr>
        <w:t xml:space="preserve">contra del acuerdo de la sesión ordinaria No. 42-2005 </w:t>
      </w:r>
      <w:r>
        <w:rPr>
          <w:spacing w:val="-7"/>
          <w:w w:val="105"/>
          <w:sz w:val="23"/>
          <w:szCs w:val="23"/>
          <w:lang w:val="es-ES" w:eastAsia="es-ES"/>
        </w:rPr>
        <w:t xml:space="preserve">adoptado el 09 de junio del 2005 y publicado en el Diario Extra del 27 de setiembre del </w:t>
      </w:r>
      <w:r>
        <w:rPr>
          <w:spacing w:val="-5"/>
          <w:w w:val="105"/>
          <w:sz w:val="23"/>
          <w:szCs w:val="23"/>
          <w:lang w:val="es-ES" w:eastAsia="es-ES"/>
        </w:rPr>
        <w:t>2005, que se tramita en este despacho bajo expediente Administrativo TAT-046-05.</w:t>
      </w:r>
    </w:p>
    <w:p w:rsidR="00000000" w:rsidRPr="004247A8" w:rsidRDefault="00D46121">
      <w:pPr>
        <w:pStyle w:val="Style1"/>
        <w:kinsoku w:val="0"/>
        <w:autoSpaceDE/>
        <w:autoSpaceDN/>
        <w:adjustRightInd/>
        <w:spacing w:before="540" w:line="201" w:lineRule="auto"/>
        <w:ind w:left="3312"/>
        <w:rPr>
          <w:b/>
          <w:w w:val="105"/>
          <w:sz w:val="23"/>
          <w:szCs w:val="23"/>
          <w:lang w:val="es-ES" w:eastAsia="es-ES"/>
        </w:rPr>
      </w:pPr>
      <w:r w:rsidRPr="004247A8">
        <w:rPr>
          <w:b/>
          <w:w w:val="105"/>
          <w:sz w:val="23"/>
          <w:szCs w:val="23"/>
          <w:lang w:val="es-ES" w:eastAsia="es-ES"/>
        </w:rPr>
        <w:t>RESULTANDO</w:t>
      </w:r>
    </w:p>
    <w:p w:rsidR="00000000" w:rsidRDefault="00D46121">
      <w:pPr>
        <w:pStyle w:val="Style1"/>
        <w:kinsoku w:val="0"/>
        <w:autoSpaceDE/>
        <w:autoSpaceDN/>
        <w:adjustRightInd/>
        <w:spacing w:before="504"/>
        <w:ind w:left="72" w:right="504"/>
        <w:jc w:val="both"/>
        <w:rPr>
          <w:spacing w:val="-6"/>
          <w:w w:val="105"/>
          <w:sz w:val="23"/>
          <w:szCs w:val="23"/>
          <w:lang w:val="es-ES" w:eastAsia="es-ES"/>
        </w:rPr>
      </w:pPr>
      <w:r w:rsidRPr="004247A8">
        <w:rPr>
          <w:b/>
          <w:spacing w:val="2"/>
          <w:w w:val="105"/>
          <w:sz w:val="23"/>
          <w:szCs w:val="23"/>
          <w:lang w:val="es-ES" w:eastAsia="es-ES"/>
        </w:rPr>
        <w:t>PRIMERO:</w:t>
      </w:r>
      <w:r>
        <w:rPr>
          <w:spacing w:val="2"/>
          <w:w w:val="105"/>
          <w:sz w:val="23"/>
          <w:szCs w:val="23"/>
          <w:lang w:val="es-ES" w:eastAsia="es-ES"/>
        </w:rPr>
        <w:t xml:space="preserve"> Que segú</w:t>
      </w:r>
      <w:r>
        <w:rPr>
          <w:spacing w:val="2"/>
          <w:w w:val="105"/>
          <w:sz w:val="23"/>
          <w:szCs w:val="23"/>
          <w:lang w:val="es-ES" w:eastAsia="es-ES"/>
        </w:rPr>
        <w:t xml:space="preserve">n consta a folio 1 del presente expediente, el Consejo de </w:t>
      </w:r>
      <w:r>
        <w:rPr>
          <w:spacing w:val="-3"/>
          <w:w w:val="105"/>
          <w:sz w:val="23"/>
          <w:szCs w:val="23"/>
          <w:lang w:val="es-ES" w:eastAsia="es-ES"/>
        </w:rPr>
        <w:t xml:space="preserve">Transporte Público con fundamento en el Acuerdo de la Junta Directiva adoptado </w:t>
      </w:r>
      <w:r>
        <w:rPr>
          <w:spacing w:val="-7"/>
          <w:w w:val="105"/>
          <w:sz w:val="23"/>
          <w:szCs w:val="23"/>
          <w:lang w:val="es-ES" w:eastAsia="es-ES"/>
        </w:rPr>
        <w:t xml:space="preserve">mediante Sesión Ordinaria No. 42-2005 del 09 de junio de 2005, publica el comunicado </w:t>
      </w:r>
      <w:r>
        <w:rPr>
          <w:spacing w:val="-6"/>
          <w:w w:val="105"/>
          <w:sz w:val="23"/>
          <w:szCs w:val="23"/>
          <w:lang w:val="es-ES" w:eastAsia="es-ES"/>
        </w:rPr>
        <w:t>cuyo texto enseguida se trascribe:</w:t>
      </w:r>
    </w:p>
    <w:p w:rsidR="00000000" w:rsidRDefault="00D46121">
      <w:pPr>
        <w:pStyle w:val="Style1"/>
        <w:kinsoku w:val="0"/>
        <w:autoSpaceDE/>
        <w:autoSpaceDN/>
        <w:adjustRightInd/>
        <w:spacing w:before="252"/>
        <w:jc w:val="center"/>
        <w:rPr>
          <w:spacing w:val="-8"/>
          <w:w w:val="105"/>
          <w:sz w:val="23"/>
          <w:szCs w:val="23"/>
          <w:lang w:val="es-ES" w:eastAsia="es-ES"/>
        </w:rPr>
      </w:pPr>
      <w:r>
        <w:rPr>
          <w:spacing w:val="-8"/>
          <w:w w:val="105"/>
          <w:sz w:val="23"/>
          <w:szCs w:val="23"/>
          <w:lang w:val="es-ES" w:eastAsia="es-ES"/>
        </w:rPr>
        <w:t>"MINISTERIO DE OBRAS PUBLICAS Y TRANSPORTES.</w:t>
      </w:r>
      <w:r>
        <w:rPr>
          <w:spacing w:val="-8"/>
          <w:w w:val="105"/>
          <w:sz w:val="23"/>
          <w:szCs w:val="23"/>
          <w:lang w:val="es-ES" w:eastAsia="es-ES"/>
        </w:rPr>
        <w:br/>
        <w:t>CONSEJO DE TRANSPORTE PÚBLICO COMUNICA:</w:t>
      </w:r>
    </w:p>
    <w:p w:rsidR="00000000" w:rsidRDefault="00D46121">
      <w:pPr>
        <w:pStyle w:val="Style1"/>
        <w:kinsoku w:val="0"/>
        <w:autoSpaceDE/>
        <w:autoSpaceDN/>
        <w:adjustRightInd/>
        <w:spacing w:before="252"/>
        <w:jc w:val="center"/>
        <w:rPr>
          <w:spacing w:val="-8"/>
          <w:w w:val="105"/>
          <w:sz w:val="23"/>
          <w:szCs w:val="23"/>
          <w:lang w:val="es-ES" w:eastAsia="es-ES"/>
        </w:rPr>
      </w:pPr>
      <w:r>
        <w:rPr>
          <w:spacing w:val="-8"/>
          <w:w w:val="105"/>
          <w:sz w:val="23"/>
          <w:szCs w:val="23"/>
          <w:lang w:val="es-ES" w:eastAsia="es-ES"/>
        </w:rPr>
        <w:t>CONCESIONARIOS Y PERMISIONARIOS DE SERVICIOS DE</w:t>
      </w:r>
      <w:r>
        <w:rPr>
          <w:spacing w:val="-8"/>
          <w:w w:val="105"/>
          <w:sz w:val="23"/>
          <w:szCs w:val="23"/>
          <w:lang w:val="es-ES" w:eastAsia="es-ES"/>
        </w:rPr>
        <w:br/>
        <w:t>TRASNPORTE PÚBLICO, MODALIDADES AUTOBÚS Y TAXI.</w:t>
      </w:r>
    </w:p>
    <w:p w:rsidR="00000000" w:rsidRDefault="00D46121">
      <w:pPr>
        <w:pStyle w:val="Style1"/>
        <w:kinsoku w:val="0"/>
        <w:autoSpaceDE/>
        <w:autoSpaceDN/>
        <w:adjustRightInd/>
        <w:spacing w:before="216"/>
        <w:ind w:left="936" w:right="1368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spacing w:val="-2"/>
          <w:w w:val="105"/>
          <w:sz w:val="23"/>
          <w:szCs w:val="23"/>
          <w:lang w:val="es-ES" w:eastAsia="es-ES"/>
        </w:rPr>
        <w:t xml:space="preserve">Con base en el Acuerdo de la Junta Directiva tomado en Sesión </w:t>
      </w:r>
      <w:r>
        <w:rPr>
          <w:spacing w:val="-6"/>
          <w:w w:val="105"/>
          <w:sz w:val="23"/>
          <w:szCs w:val="23"/>
          <w:lang w:val="es-ES" w:eastAsia="es-ES"/>
        </w:rPr>
        <w:t>Ordinaria 42-2005 de 9 de junio de 2005, la Dirección Ejecutiva del CTP les comunica:</w:t>
      </w:r>
    </w:p>
    <w:p w:rsidR="00000000" w:rsidRDefault="00D46121">
      <w:pPr>
        <w:pStyle w:val="Style1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180"/>
        <w:ind w:right="1368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spacing w:val="-1"/>
          <w:w w:val="105"/>
          <w:sz w:val="23"/>
          <w:szCs w:val="23"/>
          <w:lang w:val="es-ES" w:eastAsia="es-ES"/>
        </w:rPr>
        <w:t xml:space="preserve">Es deber de los concesionarios, autorizar el abordaje a las </w:t>
      </w:r>
      <w:r>
        <w:rPr>
          <w:spacing w:val="4"/>
          <w:w w:val="105"/>
          <w:sz w:val="23"/>
          <w:szCs w:val="23"/>
          <w:lang w:val="es-ES" w:eastAsia="es-ES"/>
        </w:rPr>
        <w:t xml:space="preserve">unidades de personas con discapacidad, incluyendo aquellas </w:t>
      </w:r>
      <w:r>
        <w:rPr>
          <w:spacing w:val="-6"/>
          <w:w w:val="105"/>
          <w:sz w:val="23"/>
          <w:szCs w:val="23"/>
          <w:lang w:val="es-ES" w:eastAsia="es-ES"/>
        </w:rPr>
        <w:t>personas que por su capacidad reducida necesi</w:t>
      </w:r>
      <w:r>
        <w:rPr>
          <w:spacing w:val="-6"/>
          <w:w w:val="105"/>
          <w:sz w:val="23"/>
          <w:szCs w:val="23"/>
          <w:lang w:val="es-ES" w:eastAsia="es-ES"/>
        </w:rPr>
        <w:t xml:space="preserve">ten cualquier tipo de </w:t>
      </w:r>
      <w:r>
        <w:rPr>
          <w:spacing w:val="-2"/>
          <w:w w:val="105"/>
          <w:sz w:val="23"/>
          <w:szCs w:val="23"/>
          <w:lang w:val="es-ES" w:eastAsia="es-ES"/>
        </w:rPr>
        <w:t xml:space="preserve">dispositivo para el abordaje (bastones, muletas, sillas de ruedas, </w:t>
      </w:r>
      <w:r>
        <w:rPr>
          <w:spacing w:val="-5"/>
          <w:w w:val="105"/>
          <w:sz w:val="23"/>
          <w:szCs w:val="23"/>
          <w:lang w:val="es-ES" w:eastAsia="es-ES"/>
        </w:rPr>
        <w:t xml:space="preserve">perros guías, etc.), así como la obligación de dar un trato preferencial </w:t>
      </w:r>
      <w:r>
        <w:rPr>
          <w:spacing w:val="-2"/>
          <w:w w:val="105"/>
          <w:sz w:val="23"/>
          <w:szCs w:val="23"/>
          <w:lang w:val="es-ES" w:eastAsia="es-ES"/>
        </w:rPr>
        <w:t xml:space="preserve">en cuanto a la ubicación dentro de las unidades, y acondicionar, </w:t>
      </w:r>
      <w:r>
        <w:rPr>
          <w:spacing w:val="7"/>
          <w:w w:val="105"/>
          <w:sz w:val="23"/>
          <w:szCs w:val="23"/>
          <w:lang w:val="es-ES" w:eastAsia="es-ES"/>
        </w:rPr>
        <w:t>rotular y garantizar el uso d</w:t>
      </w:r>
      <w:r>
        <w:rPr>
          <w:spacing w:val="7"/>
          <w:w w:val="105"/>
          <w:sz w:val="23"/>
          <w:szCs w:val="23"/>
          <w:lang w:val="es-ES" w:eastAsia="es-ES"/>
        </w:rPr>
        <w:t xml:space="preserve">ebido de los asientos y lugares </w:t>
      </w:r>
      <w:r>
        <w:rPr>
          <w:spacing w:val="-2"/>
          <w:w w:val="105"/>
          <w:sz w:val="23"/>
          <w:szCs w:val="23"/>
          <w:lang w:val="es-ES" w:eastAsia="es-ES"/>
        </w:rPr>
        <w:t xml:space="preserve">preferenciales para personas con discapacidad, en los autobuses, </w:t>
      </w:r>
      <w:r>
        <w:rPr>
          <w:spacing w:val="-6"/>
          <w:w w:val="105"/>
          <w:sz w:val="23"/>
          <w:szCs w:val="23"/>
          <w:lang w:val="es-ES" w:eastAsia="es-ES"/>
        </w:rPr>
        <w:t>según la reglamentación y normativa existente al respecto.</w:t>
      </w:r>
    </w:p>
    <w:p w:rsidR="00000000" w:rsidRDefault="00D46121">
      <w:pPr>
        <w:pStyle w:val="Style1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ind w:right="1368"/>
        <w:jc w:val="both"/>
        <w:rPr>
          <w:spacing w:val="-8"/>
          <w:w w:val="105"/>
          <w:sz w:val="23"/>
          <w:szCs w:val="23"/>
          <w:lang w:val="es-ES" w:eastAsia="es-ES"/>
        </w:rPr>
      </w:pPr>
      <w:r>
        <w:rPr>
          <w:spacing w:val="-6"/>
          <w:w w:val="105"/>
          <w:sz w:val="23"/>
          <w:szCs w:val="23"/>
          <w:lang w:val="es-ES" w:eastAsia="es-ES"/>
        </w:rPr>
        <w:t xml:space="preserve">Se les recuerda la obligación de prestar el servicio a todos los </w:t>
      </w:r>
      <w:r>
        <w:rPr>
          <w:w w:val="105"/>
          <w:sz w:val="23"/>
          <w:szCs w:val="23"/>
          <w:lang w:val="es-ES" w:eastAsia="es-ES"/>
        </w:rPr>
        <w:t>usuarios de manera adecuada, y en e</w:t>
      </w:r>
      <w:r>
        <w:rPr>
          <w:w w:val="105"/>
          <w:sz w:val="23"/>
          <w:szCs w:val="23"/>
          <w:lang w:val="es-ES" w:eastAsia="es-ES"/>
        </w:rPr>
        <w:t xml:space="preserve">special a las personas con </w:t>
      </w:r>
      <w:r>
        <w:rPr>
          <w:spacing w:val="-8"/>
          <w:w w:val="105"/>
          <w:sz w:val="23"/>
          <w:szCs w:val="23"/>
          <w:lang w:val="es-ES" w:eastAsia="es-ES"/>
        </w:rPr>
        <w:t>discapacidad.</w:t>
      </w:r>
    </w:p>
    <w:p w:rsidR="00000000" w:rsidRPr="004247A8" w:rsidRDefault="00D46121" w:rsidP="004247A8">
      <w:pPr>
        <w:pStyle w:val="Style1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after="504"/>
        <w:ind w:right="1368"/>
        <w:jc w:val="both"/>
        <w:rPr>
          <w:spacing w:val="1"/>
          <w:w w:val="105"/>
          <w:sz w:val="23"/>
          <w:szCs w:val="23"/>
          <w:lang w:val="es-ES" w:eastAsia="es-ES"/>
        </w:rPr>
      </w:pPr>
      <w:r>
        <w:rPr>
          <w:spacing w:val="1"/>
          <w:w w:val="105"/>
          <w:sz w:val="23"/>
          <w:szCs w:val="23"/>
          <w:lang w:val="es-ES" w:eastAsia="es-ES"/>
        </w:rPr>
        <w:t xml:space="preserve">En caso de incumplimiento a las disposiciones anteriores </w:t>
      </w:r>
      <w:r>
        <w:rPr>
          <w:spacing w:val="-3"/>
          <w:w w:val="105"/>
          <w:sz w:val="23"/>
          <w:szCs w:val="23"/>
          <w:lang w:val="es-ES" w:eastAsia="es-ES"/>
        </w:rPr>
        <w:t xml:space="preserve">señaladas en </w:t>
      </w:r>
      <w:r w:rsidRPr="004247A8">
        <w:rPr>
          <w:spacing w:val="1"/>
          <w:w w:val="105"/>
          <w:sz w:val="23"/>
          <w:szCs w:val="23"/>
          <w:lang w:val="es-ES" w:eastAsia="es-ES"/>
        </w:rPr>
        <w:t>concordancia con la Ley 7600 podrían acreditarse las</w:t>
      </w:r>
      <w:r w:rsidR="004247A8" w:rsidRPr="004247A8">
        <w:rPr>
          <w:spacing w:val="1"/>
          <w:w w:val="105"/>
          <w:sz w:val="23"/>
          <w:szCs w:val="23"/>
          <w:lang w:val="es-ES" w:eastAsia="es-ES"/>
        </w:rPr>
        <w:t xml:space="preserve"> </w:t>
      </w:r>
      <w:r w:rsidRPr="004247A8">
        <w:rPr>
          <w:spacing w:val="1"/>
          <w:w w:val="105"/>
          <w:sz w:val="23"/>
          <w:szCs w:val="23"/>
          <w:lang w:val="es-ES" w:eastAsia="es-ES"/>
        </w:rPr>
        <w:t xml:space="preserve">sanciones administrativas por las faltas derivadas, sobre el </w:t>
      </w:r>
      <w:r w:rsidRPr="004247A8">
        <w:rPr>
          <w:spacing w:val="1"/>
          <w:w w:val="105"/>
          <w:sz w:val="23"/>
          <w:szCs w:val="23"/>
          <w:lang w:val="es-ES" w:eastAsia="es-ES"/>
        </w:rPr>
        <w:lastRenderedPageBreak/>
        <w:t xml:space="preserve">cual el </w:t>
      </w:r>
      <w:r w:rsidRPr="004247A8">
        <w:rPr>
          <w:spacing w:val="1"/>
          <w:w w:val="105"/>
          <w:sz w:val="23"/>
          <w:szCs w:val="23"/>
          <w:lang w:val="es-ES" w:eastAsia="es-ES"/>
        </w:rPr>
        <w:t xml:space="preserve">CTP se mantendrá vigilante, como dispone la normativa vigente de </w:t>
      </w:r>
      <w:r w:rsidRPr="004247A8">
        <w:rPr>
          <w:spacing w:val="1"/>
          <w:w w:val="105"/>
          <w:sz w:val="23"/>
          <w:szCs w:val="23"/>
          <w:lang w:val="es-ES" w:eastAsia="es-ES"/>
        </w:rPr>
        <w:t>su efectivo cumplimiento."</w:t>
      </w:r>
    </w:p>
    <w:p w:rsidR="00000000" w:rsidRDefault="00D46121">
      <w:pPr>
        <w:pStyle w:val="Style2"/>
        <w:kinsoku w:val="0"/>
        <w:autoSpaceDE/>
        <w:autoSpaceDN/>
        <w:spacing w:before="144"/>
        <w:ind w:firstLine="0"/>
        <w:rPr>
          <w:rStyle w:val="CharacterStyle2"/>
          <w:rFonts w:ascii="Garamond" w:hAnsi="Garamond" w:cs="Garamond"/>
          <w:spacing w:val="-4"/>
          <w:lang w:val="es-ES" w:eastAsia="es-ES"/>
        </w:rPr>
      </w:pPr>
      <w:r w:rsidRPr="004247A8">
        <w:rPr>
          <w:rStyle w:val="CharacterStyle2"/>
          <w:rFonts w:ascii="Garamond" w:hAnsi="Garamond" w:cs="Garamond"/>
          <w:b/>
          <w:spacing w:val="-9"/>
          <w:lang w:val="es-ES" w:eastAsia="es-ES"/>
        </w:rPr>
        <w:t xml:space="preserve">SEGUNDO: 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 xml:space="preserve">Que el señor </w:t>
      </w:r>
      <w:r w:rsidR="004247A8">
        <w:rPr>
          <w:rStyle w:val="CharacterStyle2"/>
          <w:rFonts w:ascii="Garamond" w:hAnsi="Garamond" w:cs="Garamond"/>
          <w:spacing w:val="-9"/>
          <w:lang w:val="es-ES" w:eastAsia="es-ES"/>
        </w:rPr>
        <w:t>JCM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 xml:space="preserve">, en su condición de concesionario del 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>servicio de transporte remunerado de personas en vehículos tipo taxi, presenta rec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 xml:space="preserve">urso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de apelación en contra del comunicado antes citado, alegando en resumen, que se equivoca el Consejo recurrido al establecer las obligaciones que menciona el aviso, a 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todos los concesionarios, ya que conforme al artículo 47 de la Ley 7600, es tan solo 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>un 10% de los concesionarios del servicio de taxi, los que estarían obligad</w:t>
      </w:r>
      <w:r w:rsidR="004247A8">
        <w:rPr>
          <w:rStyle w:val="CharacterStyle2"/>
          <w:rFonts w:ascii="Garamond" w:hAnsi="Garamond" w:cs="Garamond"/>
          <w:spacing w:val="-5"/>
          <w:lang w:val="es-ES" w:eastAsia="es-ES"/>
        </w:rPr>
        <w:t>o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s a cumplir con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esta disposición. Estima el recurrente, que obligarlo a cumplir dichas disposiciones </w:t>
      </w:r>
      <w:r>
        <w:rPr>
          <w:rStyle w:val="CharacterStyle2"/>
          <w:rFonts w:ascii="Garamond" w:hAnsi="Garamond" w:cs="Garamond"/>
          <w:spacing w:val="-2"/>
          <w:lang w:val="es-ES" w:eastAsia="es-ES"/>
        </w:rPr>
        <w:t>atentaría contra las cláusulas del contrato que la Administración suscribió con</w:t>
      </w:r>
      <w:r>
        <w:rPr>
          <w:rStyle w:val="CharacterStyle2"/>
          <w:rFonts w:ascii="Garamond" w:hAnsi="Garamond" w:cs="Garamond"/>
          <w:spacing w:val="-2"/>
          <w:lang w:val="es-ES" w:eastAsia="es-ES"/>
        </w:rPr>
        <w:t xml:space="preserve"> él, </w:t>
      </w:r>
      <w:r>
        <w:rPr>
          <w:rStyle w:val="CharacterStyle2"/>
          <w:rFonts w:ascii="Garamond" w:hAnsi="Garamond" w:cs="Garamond"/>
          <w:spacing w:val="-1"/>
          <w:lang w:val="es-ES" w:eastAsia="es-ES"/>
        </w:rPr>
        <w:t xml:space="preserve">específicamente el artículo No.3 en su punto No. b). "El concesionario (a) deberá </w:t>
      </w:r>
      <w:r>
        <w:rPr>
          <w:rStyle w:val="CharacterStyle2"/>
          <w:rFonts w:ascii="Garamond" w:hAnsi="Garamond" w:cs="Garamond"/>
          <w:spacing w:val="-8"/>
          <w:lang w:val="es-ES" w:eastAsia="es-ES"/>
        </w:rPr>
        <w:t xml:space="preserve">prestar el servicio con la unidad vehicular ofrecida y autorizada por el cedente. Además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>recuerda que las causales para dictar la caducidad de la concesió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n, establecidas en el 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 xml:space="preserve">artículo 11, en sus incisos "m" y "n", son claras al indicar m) La utilización del vehículo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de servicio público en labores diferentes, para lo cual fue autorizado. n) Negación a 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>prestar el servicio para el cual fue autorizado.</w:t>
      </w:r>
    </w:p>
    <w:p w:rsidR="00000000" w:rsidRDefault="00D46121">
      <w:pPr>
        <w:pStyle w:val="Style1"/>
        <w:kinsoku w:val="0"/>
        <w:autoSpaceDE/>
        <w:autoSpaceDN/>
        <w:adjustRightInd/>
        <w:spacing w:before="180"/>
        <w:rPr>
          <w:rFonts w:ascii="Garamond" w:hAnsi="Garamond" w:cs="Garamond"/>
          <w:sz w:val="25"/>
          <w:szCs w:val="25"/>
          <w:lang w:val="es-ES" w:eastAsia="es-ES"/>
        </w:rPr>
      </w:pPr>
      <w:r>
        <w:rPr>
          <w:b/>
          <w:bCs/>
          <w:spacing w:val="-4"/>
          <w:w w:val="105"/>
          <w:sz w:val="23"/>
          <w:szCs w:val="23"/>
          <w:lang w:val="es-ES" w:eastAsia="es-ES"/>
        </w:rPr>
        <w:t>TERECER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O: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En los procedimientos seguidos se han observado las prescripciones </w:t>
      </w:r>
      <w:r>
        <w:rPr>
          <w:rFonts w:ascii="Garamond" w:hAnsi="Garamond" w:cs="Garamond"/>
          <w:sz w:val="25"/>
          <w:szCs w:val="25"/>
          <w:lang w:val="es-ES" w:eastAsia="es-ES"/>
        </w:rPr>
        <w:t>legales.</w:t>
      </w:r>
    </w:p>
    <w:p w:rsidR="00000000" w:rsidRDefault="00D46121">
      <w:pPr>
        <w:pStyle w:val="Style1"/>
        <w:kinsoku w:val="0"/>
        <w:autoSpaceDE/>
        <w:autoSpaceDN/>
        <w:adjustRightInd/>
        <w:spacing w:before="360"/>
        <w:rPr>
          <w:b/>
          <w:bCs/>
          <w:spacing w:val="-6"/>
          <w:w w:val="105"/>
          <w:sz w:val="23"/>
          <w:szCs w:val="23"/>
          <w:lang w:val="es-ES" w:eastAsia="es-ES"/>
        </w:rPr>
      </w:pPr>
      <w:r>
        <w:rPr>
          <w:b/>
          <w:bCs/>
          <w:spacing w:val="-6"/>
          <w:w w:val="105"/>
          <w:sz w:val="23"/>
          <w:szCs w:val="23"/>
          <w:lang w:val="es-ES" w:eastAsia="es-ES"/>
        </w:rPr>
        <w:t>Redacta el Juez Fallas Acosta; y,</w:t>
      </w:r>
    </w:p>
    <w:p w:rsidR="00000000" w:rsidRDefault="00D46121">
      <w:pPr>
        <w:pStyle w:val="Style1"/>
        <w:kinsoku w:val="0"/>
        <w:autoSpaceDE/>
        <w:autoSpaceDN/>
        <w:adjustRightInd/>
        <w:spacing w:before="468" w:line="206" w:lineRule="auto"/>
        <w:ind w:left="3024"/>
        <w:rPr>
          <w:b/>
          <w:bCs/>
          <w:spacing w:val="-10"/>
          <w:w w:val="105"/>
          <w:sz w:val="23"/>
          <w:szCs w:val="23"/>
          <w:lang w:val="es-ES" w:eastAsia="es-ES"/>
        </w:rPr>
      </w:pPr>
      <w:r>
        <w:rPr>
          <w:b/>
          <w:bCs/>
          <w:spacing w:val="-10"/>
          <w:w w:val="105"/>
          <w:sz w:val="23"/>
          <w:szCs w:val="23"/>
          <w:lang w:val="es-ES" w:eastAsia="es-ES"/>
        </w:rPr>
        <w:t>CONSIDERANDO:</w:t>
      </w:r>
    </w:p>
    <w:p w:rsidR="00000000" w:rsidRDefault="00D46121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rStyle w:val="CharacterStyle2"/>
          <w:rFonts w:ascii="Garamond" w:hAnsi="Garamond" w:cs="Garamond"/>
          <w:lang w:val="es-ES" w:eastAsia="es-ES"/>
        </w:rPr>
      </w:pPr>
      <w:r>
        <w:rPr>
          <w:rStyle w:val="CharacterStyle2"/>
          <w:b/>
          <w:bCs/>
          <w:spacing w:val="-3"/>
          <w:w w:val="105"/>
          <w:sz w:val="23"/>
          <w:szCs w:val="23"/>
          <w:lang w:val="es-ES" w:eastAsia="es-ES"/>
        </w:rPr>
        <w:t xml:space="preserve">SOBRE LA COMPETENCIA: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De conformidad con el </w:t>
      </w:r>
      <w:r w:rsidR="00D34551">
        <w:rPr>
          <w:rStyle w:val="CharacterStyle2"/>
          <w:rFonts w:ascii="Garamond" w:hAnsi="Garamond" w:cs="Garamond"/>
          <w:spacing w:val="-3"/>
          <w:lang w:val="es-ES" w:eastAsia="es-ES"/>
        </w:rPr>
        <w:t>artículo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 22 de la Ley 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>Reguladora del Servicio Pú</w:t>
      </w:r>
      <w:r>
        <w:rPr>
          <w:rStyle w:val="CharacterStyle2"/>
          <w:rFonts w:ascii="Garamond" w:hAnsi="Garamond" w:cs="Garamond"/>
          <w:spacing w:val="-4"/>
          <w:lang w:val="es-ES" w:eastAsia="es-ES"/>
        </w:rPr>
        <w:t xml:space="preserve">blico de Transporte Remunerado de Personas en Vehículos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en la Modalidad de Taxi, No. 7969 del 22 de diciembre de 1999, en relación con el </w:t>
      </w:r>
      <w:r w:rsidR="00D34551">
        <w:rPr>
          <w:rStyle w:val="CharacterStyle2"/>
          <w:rFonts w:ascii="Garamond" w:hAnsi="Garamond" w:cs="Garamond"/>
          <w:spacing w:val="1"/>
          <w:lang w:val="es-ES" w:eastAsia="es-ES"/>
        </w:rPr>
        <w:t>artículo</w:t>
      </w:r>
      <w:r>
        <w:rPr>
          <w:rStyle w:val="CharacterStyle2"/>
          <w:rFonts w:ascii="Garamond" w:hAnsi="Garamond" w:cs="Garamond"/>
          <w:spacing w:val="1"/>
          <w:lang w:val="es-ES" w:eastAsia="es-ES"/>
        </w:rPr>
        <w:t xml:space="preserve"> 181 de la Ley General de la Administración Pública y el dictamen de la 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>Procuraduría General de la República N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o. C-037-2000 del 25 de febrero de 2000, el </w:t>
      </w:r>
      <w:r>
        <w:rPr>
          <w:rStyle w:val="CharacterStyle2"/>
          <w:rFonts w:ascii="Garamond" w:hAnsi="Garamond" w:cs="Garamond"/>
          <w:spacing w:val="-8"/>
          <w:lang w:val="es-ES" w:eastAsia="es-ES"/>
        </w:rPr>
        <w:t xml:space="preserve">Tribunal Administrativo de Transporte es competente para entrar a conocer el presente </w:t>
      </w:r>
      <w:r>
        <w:rPr>
          <w:rStyle w:val="CharacterStyle2"/>
          <w:rFonts w:ascii="Garamond" w:hAnsi="Garamond" w:cs="Garamond"/>
          <w:lang w:val="es-ES" w:eastAsia="es-ES"/>
        </w:rPr>
        <w:t>asunto.</w:t>
      </w:r>
    </w:p>
    <w:p w:rsidR="00000000" w:rsidRDefault="00D46121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2"/>
          <w:rFonts w:ascii="Garamond" w:hAnsi="Garamond" w:cs="Garamond"/>
          <w:lang w:val="es-ES" w:eastAsia="es-ES"/>
        </w:rPr>
      </w:pPr>
      <w:r>
        <w:rPr>
          <w:rStyle w:val="CharacterStyle2"/>
          <w:b/>
          <w:bCs/>
          <w:spacing w:val="-5"/>
          <w:w w:val="105"/>
          <w:sz w:val="23"/>
          <w:szCs w:val="23"/>
          <w:lang w:val="es-ES" w:eastAsia="es-ES"/>
        </w:rPr>
        <w:t xml:space="preserve">SOBRE LA ADMINISIBILIDAD DEL RECURSO: 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El recurso es admisible ya 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>que el señor Javier Antonio Cortés Montoya, es conces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 xml:space="preserve">ionario del servicio de transporte </w:t>
      </w:r>
      <w:r>
        <w:rPr>
          <w:rStyle w:val="CharacterStyle2"/>
          <w:rFonts w:ascii="Garamond" w:hAnsi="Garamond" w:cs="Garamond"/>
          <w:spacing w:val="-5"/>
          <w:lang w:val="es-ES" w:eastAsia="es-ES"/>
        </w:rPr>
        <w:t xml:space="preserve">remunerado de personas en vehículos automotores, modalidad taxi, según se desprende </w:t>
      </w:r>
      <w:r>
        <w:rPr>
          <w:rStyle w:val="CharacterStyle2"/>
          <w:rFonts w:ascii="Garamond" w:hAnsi="Garamond" w:cs="Garamond"/>
          <w:spacing w:val="-3"/>
          <w:lang w:val="es-ES" w:eastAsia="es-ES"/>
        </w:rPr>
        <w:t xml:space="preserve">del acto de adjudicación publicado en el Alcance No. 75-A a la Gaceta No. 207 del 29 </w:t>
      </w:r>
      <w:r>
        <w:rPr>
          <w:rStyle w:val="CharacterStyle2"/>
          <w:rFonts w:ascii="Garamond" w:hAnsi="Garamond" w:cs="Garamond"/>
          <w:spacing w:val="-6"/>
          <w:lang w:val="es-ES" w:eastAsia="es-ES"/>
        </w:rPr>
        <w:t>de octubre de 2001, página 9 y porque la apelación f</w:t>
      </w:r>
      <w:r>
        <w:rPr>
          <w:rStyle w:val="CharacterStyle2"/>
          <w:rFonts w:ascii="Garamond" w:hAnsi="Garamond" w:cs="Garamond"/>
          <w:spacing w:val="-6"/>
          <w:lang w:val="es-ES" w:eastAsia="es-ES"/>
        </w:rPr>
        <w:t xml:space="preserve">ue presentada dentro del término de </w:t>
      </w:r>
      <w:r>
        <w:rPr>
          <w:rStyle w:val="CharacterStyle2"/>
          <w:rFonts w:ascii="Garamond" w:hAnsi="Garamond" w:cs="Garamond"/>
          <w:lang w:val="es-ES" w:eastAsia="es-ES"/>
        </w:rPr>
        <w:t>ley.</w:t>
      </w:r>
    </w:p>
    <w:p w:rsidR="00000000" w:rsidRDefault="00D46121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180"/>
        <w:rPr>
          <w:rStyle w:val="CharacterStyle2"/>
          <w:rFonts w:ascii="Garamond" w:hAnsi="Garamond" w:cs="Garamond"/>
          <w:spacing w:val="-6"/>
          <w:lang w:val="es-ES" w:eastAsia="es-ES"/>
        </w:rPr>
      </w:pPr>
      <w:r>
        <w:rPr>
          <w:rStyle w:val="CharacterStyle2"/>
          <w:b/>
          <w:bCs/>
          <w:spacing w:val="-9"/>
          <w:w w:val="105"/>
          <w:sz w:val="23"/>
          <w:szCs w:val="23"/>
          <w:lang w:val="es-ES" w:eastAsia="es-ES"/>
        </w:rPr>
        <w:t xml:space="preserve">HECHOS PROBADOS: </w:t>
      </w:r>
      <w:r>
        <w:rPr>
          <w:rStyle w:val="CharacterStyle2"/>
          <w:rFonts w:ascii="Garamond" w:hAnsi="Garamond" w:cs="Garamond"/>
          <w:spacing w:val="-9"/>
          <w:lang w:val="es-ES" w:eastAsia="es-ES"/>
        </w:rPr>
        <w:t xml:space="preserve">De importancia para la decisión de este asunto, se estiman </w:t>
      </w:r>
      <w:r>
        <w:rPr>
          <w:rStyle w:val="CharacterStyle2"/>
          <w:rFonts w:ascii="Garamond" w:hAnsi="Garamond" w:cs="Garamond"/>
          <w:spacing w:val="1"/>
          <w:lang w:val="es-ES" w:eastAsia="es-ES"/>
        </w:rPr>
        <w:t xml:space="preserve">como debidamente demostrados los siguientes hechos, por cuanto así han sido </w:t>
      </w:r>
      <w:r>
        <w:rPr>
          <w:rStyle w:val="CharacterStyle2"/>
          <w:rFonts w:ascii="Garamond" w:hAnsi="Garamond" w:cs="Garamond"/>
          <w:spacing w:val="-6"/>
          <w:lang w:val="es-ES" w:eastAsia="es-ES"/>
        </w:rPr>
        <w:t>acreditados:</w:t>
      </w:r>
    </w:p>
    <w:p w:rsidR="00000000" w:rsidRPr="00D34551" w:rsidRDefault="00D46121" w:rsidP="00D34551">
      <w:pPr>
        <w:pStyle w:val="Style1"/>
        <w:tabs>
          <w:tab w:val="left" w:pos="0"/>
        </w:tabs>
        <w:kinsoku w:val="0"/>
        <w:autoSpaceDE/>
        <w:autoSpaceDN/>
        <w:adjustRightInd/>
        <w:spacing w:before="360" w:after="648" w:line="213" w:lineRule="auto"/>
        <w:jc w:val="both"/>
        <w:rPr>
          <w:rStyle w:val="CharacterStyle7"/>
          <w:rFonts w:ascii="Garamond" w:hAnsi="Garamond" w:cs="Garamond"/>
          <w:spacing w:val="-2"/>
          <w:sz w:val="25"/>
          <w:szCs w:val="25"/>
          <w:lang w:val="es-ES" w:eastAsia="es-ES"/>
        </w:rPr>
      </w:pPr>
      <w:r>
        <w:rPr>
          <w:b/>
          <w:bCs/>
          <w:spacing w:val="-1"/>
          <w:w w:val="105"/>
          <w:sz w:val="23"/>
          <w:szCs w:val="23"/>
          <w:lang w:val="es-ES" w:eastAsia="es-ES"/>
        </w:rPr>
        <w:t>A.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>Que Javier Antonio Cortés Montoya, es conces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>ionario del servicio de transporte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br/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>remunerado de personas en vehículos automotores, modalidad taxi con vehículo tipo</w:t>
      </w:r>
      <w:r w:rsidR="00D34551"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 </w:t>
      </w:r>
      <w:r>
        <w:rPr>
          <w:rStyle w:val="CharacterStyle7"/>
          <w:rFonts w:ascii="Garamond" w:hAnsi="Garamond" w:cs="Garamond"/>
          <w:spacing w:val="-3"/>
          <w:sz w:val="25"/>
          <w:szCs w:val="25"/>
          <w:lang w:val="es-ES" w:eastAsia="es-ES"/>
        </w:rPr>
        <w:t xml:space="preserve">sedán, en la base de operación de 000000. (Ver alcance No. 75-A a la Gaceta No. 207 </w:t>
      </w:r>
      <w:r>
        <w:rPr>
          <w:rStyle w:val="CharacterStyle7"/>
          <w:rFonts w:ascii="Garamond" w:hAnsi="Garamond" w:cs="Garamond"/>
          <w:spacing w:val="-5"/>
          <w:sz w:val="25"/>
          <w:szCs w:val="25"/>
          <w:lang w:val="es-ES" w:eastAsia="es-ES"/>
        </w:rPr>
        <w:t>del 29 de octubre de 2001, págin</w:t>
      </w:r>
      <w:r>
        <w:rPr>
          <w:rStyle w:val="CharacterStyle7"/>
          <w:rFonts w:ascii="Garamond" w:hAnsi="Garamond" w:cs="Garamond"/>
          <w:spacing w:val="-5"/>
          <w:sz w:val="25"/>
          <w:szCs w:val="25"/>
          <w:lang w:val="es-ES" w:eastAsia="es-ES"/>
        </w:rPr>
        <w:t>a 9)</w:t>
      </w:r>
    </w:p>
    <w:p w:rsidR="00000000" w:rsidRDefault="00D46121">
      <w:pPr>
        <w:pStyle w:val="Style4"/>
        <w:kinsoku w:val="0"/>
        <w:autoSpaceDE/>
        <w:autoSpaceDN/>
        <w:rPr>
          <w:rFonts w:ascii="Garamond" w:hAnsi="Garamond" w:cs="Garamond"/>
          <w:spacing w:val="-8"/>
          <w:sz w:val="25"/>
          <w:szCs w:val="25"/>
          <w:lang w:val="es-ES" w:eastAsia="es-ES"/>
        </w:rPr>
      </w:pPr>
      <w:r>
        <w:rPr>
          <w:b/>
          <w:bCs/>
          <w:spacing w:val="2"/>
          <w:sz w:val="23"/>
          <w:szCs w:val="23"/>
          <w:lang w:val="es-ES" w:eastAsia="es-ES"/>
        </w:rPr>
        <w:lastRenderedPageBreak/>
        <w:t xml:space="preserve">B.- 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Que mediante publicación en diarios de circulación nacional el Consejo de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Transporte Público emite un comunicado en el que refiere a las obligaciones de los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concesionarios del servicio de transporte público, (taxis y buses, sin hacer distingo) </w:t>
      </w:r>
      <w:r>
        <w:rPr>
          <w:rFonts w:ascii="Garamond" w:hAnsi="Garamond" w:cs="Garamond"/>
          <w:spacing w:val="3"/>
          <w:sz w:val="25"/>
          <w:szCs w:val="25"/>
          <w:lang w:val="es-ES" w:eastAsia="es-ES"/>
        </w:rPr>
        <w:t>fre</w:t>
      </w:r>
      <w:r>
        <w:rPr>
          <w:rFonts w:ascii="Garamond" w:hAnsi="Garamond" w:cs="Garamond"/>
          <w:spacing w:val="3"/>
          <w:sz w:val="25"/>
          <w:szCs w:val="25"/>
          <w:lang w:val="es-ES" w:eastAsia="es-ES"/>
        </w:rPr>
        <w:t xml:space="preserve">nte a la ley No. 7600 "IGUALDAD DE OPORTUNIDADES PARA LAS </w:t>
      </w:r>
      <w:r>
        <w:rPr>
          <w:rFonts w:ascii="Garamond" w:hAnsi="Garamond" w:cs="Garamond"/>
          <w:spacing w:val="-8"/>
          <w:sz w:val="25"/>
          <w:szCs w:val="25"/>
          <w:lang w:val="es-ES" w:eastAsia="es-ES"/>
        </w:rPr>
        <w:t>PERSONAS CON DISCAPACIDAD" (ver folio 1)</w:t>
      </w:r>
    </w:p>
    <w:p w:rsidR="00000000" w:rsidRDefault="00D46121" w:rsidP="00D34551">
      <w:pPr>
        <w:pStyle w:val="Style3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/>
        <w:jc w:val="both"/>
        <w:rPr>
          <w:rStyle w:val="CharacterStyle7"/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-10"/>
          <w:sz w:val="23"/>
          <w:szCs w:val="23"/>
          <w:lang w:val="es-ES" w:eastAsia="es-ES"/>
        </w:rPr>
        <w:t xml:space="preserve">HECHOS NO PROBADOS: </w:t>
      </w:r>
      <w:r>
        <w:rPr>
          <w:rStyle w:val="CharacterStyle7"/>
          <w:rFonts w:ascii="Garamond" w:hAnsi="Garamond" w:cs="Garamond"/>
          <w:spacing w:val="-10"/>
          <w:sz w:val="25"/>
          <w:szCs w:val="25"/>
          <w:lang w:val="es-ES" w:eastAsia="es-ES"/>
        </w:rPr>
        <w:t xml:space="preserve">Para la decisión del presente asunto, no se tiene hecho </w:t>
      </w:r>
      <w:r>
        <w:rPr>
          <w:rStyle w:val="CharacterStyle7"/>
          <w:rFonts w:ascii="Garamond" w:hAnsi="Garamond" w:cs="Garamond"/>
          <w:spacing w:val="-6"/>
          <w:sz w:val="25"/>
          <w:szCs w:val="25"/>
          <w:lang w:val="es-ES" w:eastAsia="es-ES"/>
        </w:rPr>
        <w:t>improbado alguno.</w:t>
      </w:r>
    </w:p>
    <w:p w:rsidR="00000000" w:rsidRDefault="00D46121">
      <w:pPr>
        <w:pStyle w:val="Style3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468" w:line="201" w:lineRule="auto"/>
        <w:rPr>
          <w:rStyle w:val="CharacterStyle7"/>
          <w:b/>
          <w:bCs/>
          <w:spacing w:val="16"/>
          <w:sz w:val="23"/>
          <w:szCs w:val="23"/>
          <w:lang w:val="es-ES" w:eastAsia="es-ES"/>
        </w:rPr>
      </w:pPr>
      <w:r>
        <w:rPr>
          <w:rStyle w:val="CharacterStyle7"/>
          <w:b/>
          <w:bCs/>
          <w:spacing w:val="16"/>
          <w:sz w:val="23"/>
          <w:szCs w:val="23"/>
          <w:lang w:val="es-ES" w:eastAsia="es-ES"/>
        </w:rPr>
        <w:t>SOBRE EL FONDO:</w:t>
      </w:r>
    </w:p>
    <w:p w:rsidR="00000000" w:rsidRDefault="00D46121">
      <w:pPr>
        <w:pStyle w:val="Style4"/>
        <w:kinsoku w:val="0"/>
        <w:autoSpaceDE/>
        <w:autoSpaceDN/>
        <w:spacing w:before="252"/>
        <w:rPr>
          <w:rFonts w:ascii="Garamond" w:hAnsi="Garamond" w:cs="Garamond"/>
          <w:spacing w:val="-5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7"/>
          <w:sz w:val="25"/>
          <w:szCs w:val="25"/>
          <w:lang w:val="es-ES" w:eastAsia="es-ES"/>
        </w:rPr>
        <w:t xml:space="preserve">La queja del recurrente se refiere al aviso publicado por las autoridades del Consejo de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Transporte Público en el tanto entra en una generalización de obligaciones que, frente a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la ley 7600 y el contrato de concesión firmado entre el citado Consejo y su pe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rsona, no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le son aplicables, ya que él no presentó una oferta para esta modalidad de taxi.</w:t>
      </w:r>
    </w:p>
    <w:p w:rsidR="00000000" w:rsidRDefault="00D46121">
      <w:pPr>
        <w:pStyle w:val="Style4"/>
        <w:kinsoku w:val="0"/>
        <w:autoSpaceDE/>
        <w:autoSpaceDN/>
        <w:rPr>
          <w:rFonts w:ascii="Garamond" w:hAnsi="Garamond" w:cs="Garamond"/>
          <w:spacing w:val="-4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Para los efectos de la presente resolución debemos tener por claro, que si bien el acto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administrativo impugnado, no evidencia vicio que produzca su nulidad, lo ci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erto es que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se redacta con un grado de generalidad que produce, como se ha visto, una serie de interpretaciones, que este Tribunal, en aras de atender las pretensiones del recurrente ha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de entrar a analizar.</w:t>
      </w:r>
    </w:p>
    <w:p w:rsidR="00000000" w:rsidRDefault="00D46121">
      <w:pPr>
        <w:pStyle w:val="Style4"/>
        <w:kinsoku w:val="0"/>
        <w:autoSpaceDE/>
        <w:autoSpaceDN/>
        <w:spacing w:before="216"/>
        <w:rPr>
          <w:rFonts w:ascii="Garamond" w:hAnsi="Garamond" w:cs="Garamond"/>
          <w:spacing w:val="-2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El primer aspecto que debemos abordar, es que el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 encabezado del citado comunicado, </w:t>
      </w:r>
      <w:r>
        <w:rPr>
          <w:rFonts w:ascii="Garamond" w:hAnsi="Garamond" w:cs="Garamond"/>
          <w:spacing w:val="-7"/>
          <w:sz w:val="25"/>
          <w:szCs w:val="25"/>
          <w:lang w:val="es-ES" w:eastAsia="es-ES"/>
        </w:rPr>
        <w:t xml:space="preserve">va dirigido a autobuses y taxis, sin embargo, en el cuerpo del texto, la publicación hace 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referencia a la obligación del concesionario a "dar un trato preferencial en cuanto a la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ubicación dentro de las unidades, y acondi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cionar, rotular y garantizar el uso indebido de 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los asientos y lugares preferenciales para personas con discapacidad" lo que resulta ser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>normas que se pueden entender en el caso de los autobuses, mas no de aplicación práctica a los taxis.</w:t>
      </w:r>
    </w:p>
    <w:p w:rsidR="00000000" w:rsidRDefault="00D46121">
      <w:pPr>
        <w:pStyle w:val="Style4"/>
        <w:kinsoku w:val="0"/>
        <w:autoSpaceDE/>
        <w:autoSpaceDN/>
        <w:rPr>
          <w:rFonts w:ascii="Garamond" w:hAnsi="Garamond" w:cs="Garamond"/>
          <w:spacing w:val="-4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>Lo señalado, en l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a medida que no diferencia entre taxis y buses, agrava la situación de </w:t>
      </w:r>
      <w:r>
        <w:rPr>
          <w:rFonts w:ascii="Garamond" w:hAnsi="Garamond" w:cs="Garamond"/>
          <w:sz w:val="25"/>
          <w:szCs w:val="25"/>
          <w:lang w:val="es-ES" w:eastAsia="es-ES"/>
        </w:rPr>
        <w:t xml:space="preserve">confusión al ignorar que el Primer Procedimiento Especial Abreviado de Taxis,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estableció una diferencia entre los taxis tipo sedan, los rurales y los adaptados para </w:t>
      </w:r>
      <w:r>
        <w:rPr>
          <w:rFonts w:ascii="Garamond" w:hAnsi="Garamond" w:cs="Garamond"/>
          <w:spacing w:val="-8"/>
          <w:sz w:val="25"/>
          <w:szCs w:val="25"/>
          <w:lang w:val="es-ES" w:eastAsia="es-ES"/>
        </w:rPr>
        <w:t>personas con discapa</w:t>
      </w:r>
      <w:r>
        <w:rPr>
          <w:rFonts w:ascii="Garamond" w:hAnsi="Garamond" w:cs="Garamond"/>
          <w:spacing w:val="-8"/>
          <w:sz w:val="25"/>
          <w:szCs w:val="25"/>
          <w:lang w:val="es-ES" w:eastAsia="es-ES"/>
        </w:rPr>
        <w:t xml:space="preserve">cidad. Esta omisión produce que se llegue al casuismo en que nos </w:t>
      </w:r>
      <w:r>
        <w:rPr>
          <w:rFonts w:ascii="Garamond" w:hAnsi="Garamond" w:cs="Garamond"/>
          <w:spacing w:val="-9"/>
          <w:sz w:val="25"/>
          <w:szCs w:val="25"/>
          <w:lang w:val="es-ES" w:eastAsia="es-ES"/>
        </w:rPr>
        <w:t xml:space="preserve">introduce el recurrente, quien lleva razón en parte de la interpretación que hace de dicha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publicación, según se verá.</w:t>
      </w:r>
    </w:p>
    <w:p w:rsidR="00000000" w:rsidRDefault="00D46121">
      <w:pPr>
        <w:pStyle w:val="Style4"/>
        <w:kinsoku w:val="0"/>
        <w:autoSpaceDE/>
        <w:autoSpaceDN/>
        <w:spacing w:line="216" w:lineRule="auto"/>
        <w:rPr>
          <w:rFonts w:ascii="Garamond" w:hAnsi="Garamond" w:cs="Garamond"/>
          <w:spacing w:val="-5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Así las cosas, corresponde a este Tribunal estudiar el cuadro fáctico y 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jurídico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presentado a efecto de determinar la procedencia o no de la presente apelación, lo que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nos conduce a las siguientes consideraciones:</w:t>
      </w:r>
    </w:p>
    <w:p w:rsidR="00000000" w:rsidRDefault="00D46121">
      <w:pPr>
        <w:pStyle w:val="Style3"/>
        <w:kinsoku w:val="0"/>
        <w:autoSpaceDE/>
        <w:autoSpaceDN/>
        <w:adjustRightInd/>
        <w:spacing w:before="180" w:after="720"/>
        <w:jc w:val="both"/>
        <w:rPr>
          <w:rStyle w:val="CharacterStyle7"/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Style w:val="CharacterStyle7"/>
          <w:rFonts w:ascii="Garamond" w:hAnsi="Garamond" w:cs="Garamond"/>
          <w:spacing w:val="-3"/>
          <w:sz w:val="25"/>
          <w:szCs w:val="25"/>
          <w:lang w:val="es-ES" w:eastAsia="es-ES"/>
        </w:rPr>
        <w:t xml:space="preserve">Lo primero que hay que definir, es qué ha de entenderse por persona con discapacidad </w:t>
      </w:r>
      <w:r>
        <w:rPr>
          <w:rStyle w:val="CharacterStyle7"/>
          <w:rFonts w:ascii="Garamond" w:hAnsi="Garamond" w:cs="Garamond"/>
          <w:spacing w:val="-5"/>
          <w:sz w:val="25"/>
          <w:szCs w:val="25"/>
          <w:lang w:val="es-ES" w:eastAsia="es-ES"/>
        </w:rPr>
        <w:t xml:space="preserve">y por tanto sujetos de regulación de la Ley 7600. El numeral 2 de la Ley "IGUALDAD </w:t>
      </w:r>
      <w:r>
        <w:rPr>
          <w:rStyle w:val="CharacterStyle7"/>
          <w:rFonts w:ascii="Garamond" w:hAnsi="Garamond" w:cs="Garamond"/>
          <w:spacing w:val="-13"/>
          <w:sz w:val="25"/>
          <w:szCs w:val="25"/>
          <w:lang w:val="es-ES" w:eastAsia="es-ES"/>
        </w:rPr>
        <w:t xml:space="preserve">DE OPORTUNIDADES PARA LAS PERSONAS CON DISCAPACIDAD", define la </w:t>
      </w:r>
      <w:r>
        <w:rPr>
          <w:rStyle w:val="CharacterStyle7"/>
          <w:rFonts w:ascii="Garamond" w:hAnsi="Garamond" w:cs="Garamond"/>
          <w:spacing w:val="-6"/>
          <w:sz w:val="25"/>
          <w:szCs w:val="25"/>
          <w:lang w:val="es-ES" w:eastAsia="es-ES"/>
        </w:rPr>
        <w:t>discapacidad como:</w:t>
      </w:r>
    </w:p>
    <w:p w:rsidR="00000000" w:rsidRDefault="00D46121">
      <w:pPr>
        <w:pStyle w:val="Style3"/>
        <w:kinsoku w:val="0"/>
        <w:autoSpaceDE/>
        <w:autoSpaceDN/>
        <w:adjustRightInd/>
        <w:spacing w:line="216" w:lineRule="auto"/>
        <w:rPr>
          <w:rStyle w:val="CharacterStyle7"/>
          <w:rFonts w:ascii="Garamond" w:hAnsi="Garamond" w:cs="Garamond"/>
          <w:spacing w:val="-4"/>
          <w:sz w:val="25"/>
          <w:szCs w:val="25"/>
          <w:lang w:val="es-ES" w:eastAsia="es-ES"/>
        </w:rPr>
      </w:pPr>
      <w:r>
        <w:rPr>
          <w:rStyle w:val="CharacterStyle7"/>
          <w:rFonts w:ascii="Garamond" w:hAnsi="Garamond" w:cs="Garamond"/>
          <w:spacing w:val="-3"/>
          <w:sz w:val="25"/>
          <w:szCs w:val="25"/>
          <w:lang w:val="es-ES" w:eastAsia="es-ES"/>
        </w:rPr>
        <w:lastRenderedPageBreak/>
        <w:t>"Cualquier deficiencia física, mental o sensorial que limite, susta</w:t>
      </w:r>
      <w:r>
        <w:rPr>
          <w:rStyle w:val="CharacterStyle7"/>
          <w:rFonts w:ascii="Garamond" w:hAnsi="Garamond" w:cs="Garamond"/>
          <w:spacing w:val="-3"/>
          <w:sz w:val="25"/>
          <w:szCs w:val="25"/>
          <w:lang w:val="es-ES" w:eastAsia="es-ES"/>
        </w:rPr>
        <w:t xml:space="preserve">ncialmente, una o más </w:t>
      </w:r>
      <w:r>
        <w:rPr>
          <w:rStyle w:val="CharacterStyle7"/>
          <w:rFonts w:ascii="Garamond" w:hAnsi="Garamond" w:cs="Garamond"/>
          <w:spacing w:val="-4"/>
          <w:sz w:val="25"/>
          <w:szCs w:val="25"/>
          <w:lang w:val="es-ES" w:eastAsia="es-ES"/>
        </w:rPr>
        <w:t>de las actividades principales de un individuo."</w:t>
      </w:r>
    </w:p>
    <w:p w:rsidR="00000000" w:rsidRDefault="00D46121">
      <w:pPr>
        <w:pStyle w:val="Style4"/>
        <w:kinsoku w:val="0"/>
        <w:autoSpaceDE/>
        <w:autoSpaceDN/>
        <w:spacing w:before="216"/>
        <w:rPr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Esta definición, nos permite concluir, que no todas las personas con una deficiencia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física, metal o sensorial, tengan que transportarse en silla de ruedas. Así las cosas, los invidente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s o personas con problemas mentales, para poner tan solo dos ejemplos, no es 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>lo común que se transportan en silla de ruedas y son personas con una discapacidad.</w:t>
      </w:r>
    </w:p>
    <w:p w:rsidR="00000000" w:rsidRDefault="00D46121">
      <w:pPr>
        <w:pStyle w:val="Style4"/>
        <w:kinsoku w:val="0"/>
        <w:autoSpaceDE/>
        <w:autoSpaceDN/>
        <w:rPr>
          <w:rFonts w:ascii="Garamond" w:hAnsi="Garamond" w:cs="Garamond"/>
          <w:spacing w:val="-6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Ahora bien, lleva razón el recurrente, al concluir que en su condición de concesionario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de un taxi tipo sedán, no está obligado a transportar a una persona en silla de ruedas, cuando las circunstancias físicas del individuo y de la silla de ruedas misma, tornen 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 xml:space="preserve">imposible dicha acción, recordemos la máxima legal que enuncia que "nadie está </w:t>
      </w:r>
      <w:r>
        <w:rPr>
          <w:rFonts w:ascii="Garamond" w:hAnsi="Garamond" w:cs="Garamond"/>
          <w:sz w:val="25"/>
          <w:szCs w:val="25"/>
          <w:lang w:val="es-ES" w:eastAsia="es-ES"/>
        </w:rPr>
        <w:t>obl</w:t>
      </w:r>
      <w:r>
        <w:rPr>
          <w:rFonts w:ascii="Garamond" w:hAnsi="Garamond" w:cs="Garamond"/>
          <w:sz w:val="25"/>
          <w:szCs w:val="25"/>
          <w:lang w:val="es-ES" w:eastAsia="es-ES"/>
        </w:rPr>
        <w:t xml:space="preserve">igado a lo imposible". En estas circunstancias una sanción administrativa por negarse a prestar este servicio, </w:t>
      </w:r>
      <w:proofErr w:type="spellStart"/>
      <w:r>
        <w:rPr>
          <w:rFonts w:ascii="Garamond" w:hAnsi="Garamond" w:cs="Garamond"/>
          <w:sz w:val="25"/>
          <w:szCs w:val="25"/>
          <w:lang w:val="es-ES" w:eastAsia="es-ES"/>
        </w:rPr>
        <w:t>seria</w:t>
      </w:r>
      <w:proofErr w:type="spellEnd"/>
      <w:r>
        <w:rPr>
          <w:rFonts w:ascii="Garamond" w:hAnsi="Garamond" w:cs="Garamond"/>
          <w:sz w:val="25"/>
          <w:szCs w:val="25"/>
          <w:lang w:val="es-ES" w:eastAsia="es-ES"/>
        </w:rPr>
        <w:t xml:space="preserve"> impensable. Sin embargo, el recurrente entra en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el mismo problema de generalización en que incurre la Administración, al afirmar que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"un ve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hículo tipo sedan no está autorizado al transporte de personas con discapacidad y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de hacerlo estaría realizando labores diferentes o más bien estaría utilizando el vehículo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en un campo de trabajo propio de los taxis adaptados para personas con discapacidad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."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Esta afirmación es errónea, toda vez que el espíritu de la Ley 7600 en esta materia, es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que las personas con problemas de discapacidad, cuenten con mínimos que les permita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>la incorporación de este sector de la población, al resto de la sociedad y no pod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 xml:space="preserve">ría </w:t>
      </w:r>
      <w:r>
        <w:rPr>
          <w:rFonts w:ascii="Garamond" w:hAnsi="Garamond" w:cs="Garamond"/>
          <w:spacing w:val="-7"/>
          <w:sz w:val="25"/>
          <w:szCs w:val="25"/>
          <w:lang w:val="es-ES" w:eastAsia="es-ES"/>
        </w:rPr>
        <w:t xml:space="preserve">interpretarse que dichas facilidades deben entenderse como máximos a los que pueden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aspirar, recordemos que uno de los principios fundamentales en que se sustenta el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servicio público es su carácter de universal, lo que se traduce en que el mismo debe 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>o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>frecerse a todos por igual.</w:t>
      </w:r>
    </w:p>
    <w:p w:rsidR="00000000" w:rsidRDefault="00D46121">
      <w:pPr>
        <w:pStyle w:val="Style4"/>
        <w:kinsoku w:val="0"/>
        <w:autoSpaceDE/>
        <w:autoSpaceDN/>
        <w:rPr>
          <w:rFonts w:ascii="Garamond" w:hAnsi="Garamond" w:cs="Garamond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Así las cosas, concluye este Tribunal que si bien el legislador estableció un porcentaje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mínimo de concesiones para que las personas con discapacidad puedan acceder el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servicio, esto no es motivo de excusa de los demás prestatar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ios del servicio, para negar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por ese simple hecho un servicio a un discapacitado. Así por el contrario, en el supuesto de que la silla de ruedas, -para citar el caso concreto expuesto por el recurrente- sea susceptible de recogerse a un tamaño que permita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su transportación en un sedán, los 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concesionarios no pueden negarse a prestar el servicio, en igual situación se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encontrarían frente al invidente con su bastón o perro guía, a quien utilice muletas o </w:t>
      </w:r>
      <w:r>
        <w:rPr>
          <w:rFonts w:ascii="Garamond" w:hAnsi="Garamond" w:cs="Garamond"/>
          <w:spacing w:val="3"/>
          <w:sz w:val="25"/>
          <w:szCs w:val="25"/>
          <w:lang w:val="es-ES" w:eastAsia="es-ES"/>
        </w:rPr>
        <w:t>similares y en fin cualquier otro medio de soporte o ayu</w:t>
      </w:r>
      <w:r>
        <w:rPr>
          <w:rFonts w:ascii="Garamond" w:hAnsi="Garamond" w:cs="Garamond"/>
          <w:spacing w:val="3"/>
          <w:sz w:val="25"/>
          <w:szCs w:val="25"/>
          <w:lang w:val="es-ES" w:eastAsia="es-ES"/>
        </w:rPr>
        <w:t xml:space="preserve">da que sea factible de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transportar y que se constituya en una ayuda de las personas con discapacidad. Esto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provoca también que frente al caso concreto, el sentido común del concesionario, le 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dicte las medidas de seguridad que estime necesarias para la ó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ptima conducción del </w:t>
      </w:r>
      <w:r>
        <w:rPr>
          <w:rFonts w:ascii="Garamond" w:hAnsi="Garamond" w:cs="Garamond"/>
          <w:sz w:val="25"/>
          <w:szCs w:val="25"/>
          <w:lang w:val="es-ES" w:eastAsia="es-ES"/>
        </w:rPr>
        <w:t>vehículo.</w:t>
      </w:r>
    </w:p>
    <w:p w:rsidR="00000000" w:rsidRDefault="00D46121">
      <w:pPr>
        <w:pStyle w:val="Style4"/>
        <w:kinsoku w:val="0"/>
        <w:autoSpaceDE/>
        <w:autoSpaceDN/>
        <w:spacing w:before="216" w:line="216" w:lineRule="auto"/>
        <w:rPr>
          <w:rFonts w:ascii="Garamond" w:hAnsi="Garamond" w:cs="Garamond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 xml:space="preserve">Pese a que lleva razón el recurrente en el sentido de que nadie podría obligarlo a 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transportar una persona que por su discapacidad, no pueda separarse de su silla de 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>ruedas, lo cierto es que se equivoca en la interpretación i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ntegral de la situación </w:t>
      </w:r>
      <w:r>
        <w:rPr>
          <w:rFonts w:ascii="Garamond" w:hAnsi="Garamond" w:cs="Garamond"/>
          <w:sz w:val="25"/>
          <w:szCs w:val="25"/>
          <w:lang w:val="es-ES" w:eastAsia="es-ES"/>
        </w:rPr>
        <w:t>planteada.</w:t>
      </w:r>
    </w:p>
    <w:p w:rsidR="00000000" w:rsidRDefault="00D46121" w:rsidP="00D34551">
      <w:pPr>
        <w:pStyle w:val="Style3"/>
        <w:kinsoku w:val="0"/>
        <w:autoSpaceDE/>
        <w:autoSpaceDN/>
        <w:adjustRightInd/>
        <w:spacing w:before="180" w:after="1044" w:line="216" w:lineRule="auto"/>
        <w:jc w:val="both"/>
        <w:rPr>
          <w:rStyle w:val="CharacterStyle7"/>
          <w:rFonts w:ascii="Garamond" w:hAnsi="Garamond" w:cs="Garamond"/>
          <w:spacing w:val="-5"/>
          <w:sz w:val="25"/>
          <w:szCs w:val="25"/>
          <w:lang w:val="es-ES" w:eastAsia="es-ES"/>
        </w:rPr>
      </w:pPr>
      <w:r>
        <w:rPr>
          <w:rStyle w:val="CharacterStyle7"/>
          <w:rFonts w:ascii="Garamond" w:hAnsi="Garamond" w:cs="Garamond"/>
          <w:spacing w:val="-3"/>
          <w:sz w:val="25"/>
          <w:szCs w:val="25"/>
          <w:lang w:val="es-ES" w:eastAsia="es-ES"/>
        </w:rPr>
        <w:t xml:space="preserve">Por último pese a que ésta no es la instancia para resolver las inquietudes que presenta </w:t>
      </w:r>
      <w:r>
        <w:rPr>
          <w:rStyle w:val="CharacterStyle7"/>
          <w:rFonts w:ascii="Garamond" w:hAnsi="Garamond" w:cs="Garamond"/>
          <w:spacing w:val="-5"/>
          <w:sz w:val="25"/>
          <w:szCs w:val="25"/>
          <w:lang w:val="es-ES" w:eastAsia="es-ES"/>
        </w:rPr>
        <w:t>el recurrente, con lo dicho supra se estima que las mismas han sido evacuadas.</w:t>
      </w:r>
    </w:p>
    <w:p w:rsidR="00000000" w:rsidRDefault="00D46121">
      <w:pPr>
        <w:pStyle w:val="Style3"/>
        <w:kinsoku w:val="0"/>
        <w:autoSpaceDE/>
        <w:autoSpaceDN/>
        <w:adjustRightInd/>
        <w:spacing w:before="648" w:line="214" w:lineRule="exact"/>
        <w:jc w:val="center"/>
        <w:rPr>
          <w:rStyle w:val="CharacterStyle7"/>
          <w:rFonts w:ascii="Garamond" w:hAnsi="Garamond" w:cs="Garamond"/>
          <w:b/>
          <w:bCs/>
          <w:spacing w:val="-11"/>
          <w:sz w:val="23"/>
          <w:szCs w:val="23"/>
          <w:lang w:val="es-ES" w:eastAsia="es-ES"/>
        </w:rPr>
      </w:pPr>
      <w:r>
        <w:rPr>
          <w:rStyle w:val="CharacterStyle7"/>
          <w:rFonts w:ascii="Garamond" w:hAnsi="Garamond" w:cs="Garamond"/>
          <w:b/>
          <w:bCs/>
          <w:spacing w:val="-11"/>
          <w:sz w:val="23"/>
          <w:szCs w:val="23"/>
          <w:lang w:val="es-ES" w:eastAsia="es-ES"/>
        </w:rPr>
        <w:lastRenderedPageBreak/>
        <w:t>POR TANTO</w:t>
      </w:r>
    </w:p>
    <w:p w:rsidR="00000000" w:rsidRDefault="00D46121" w:rsidP="00D34551">
      <w:pPr>
        <w:pStyle w:val="Style5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324" w:line="253" w:lineRule="exact"/>
        <w:ind w:firstLine="0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-2"/>
          <w:lang w:val="es-ES" w:eastAsia="es-ES"/>
        </w:rPr>
        <w:t>Se declara sin lugar el recurso de apelación presentado por JA</w:t>
      </w:r>
      <w:r w:rsidR="00D34551">
        <w:rPr>
          <w:rStyle w:val="CharacterStyle5"/>
          <w:spacing w:val="-2"/>
          <w:lang w:val="es-ES" w:eastAsia="es-ES"/>
        </w:rPr>
        <w:t>CM</w:t>
      </w:r>
      <w:r>
        <w:rPr>
          <w:rStyle w:val="CharacterStyle5"/>
          <w:spacing w:val="-3"/>
          <w:lang w:val="es-ES" w:eastAsia="es-ES"/>
        </w:rPr>
        <w:t xml:space="preserve">, cédula de identidad </w:t>
      </w:r>
      <w:proofErr w:type="gramStart"/>
      <w:r>
        <w:rPr>
          <w:rStyle w:val="CharacterStyle5"/>
          <w:spacing w:val="-3"/>
          <w:lang w:val="es-ES" w:eastAsia="es-ES"/>
        </w:rPr>
        <w:t xml:space="preserve">número </w:t>
      </w:r>
      <w:r w:rsidR="00D34551">
        <w:rPr>
          <w:rStyle w:val="CharacterStyle5"/>
          <w:spacing w:val="-3"/>
          <w:lang w:val="es-ES" w:eastAsia="es-ES"/>
        </w:rPr>
        <w:t>…</w:t>
      </w:r>
      <w:proofErr w:type="gramEnd"/>
      <w:r>
        <w:rPr>
          <w:rStyle w:val="CharacterStyle5"/>
          <w:spacing w:val="-3"/>
          <w:lang w:val="es-ES" w:eastAsia="es-ES"/>
        </w:rPr>
        <w:t xml:space="preserve">, contra la publicación </w:t>
      </w:r>
      <w:r>
        <w:rPr>
          <w:rStyle w:val="CharacterStyle5"/>
          <w:spacing w:val="2"/>
          <w:lang w:val="es-ES" w:eastAsia="es-ES"/>
        </w:rPr>
        <w:t xml:space="preserve">realizada por el Consejo de Transporte Público en contra del acuerdo de la sesión </w:t>
      </w:r>
      <w:r>
        <w:rPr>
          <w:rStyle w:val="CharacterStyle5"/>
          <w:spacing w:val="-1"/>
          <w:lang w:val="es-ES" w:eastAsia="es-ES"/>
        </w:rPr>
        <w:t>ordinaria No. 42-2005 a</w:t>
      </w:r>
      <w:r>
        <w:rPr>
          <w:rStyle w:val="CharacterStyle5"/>
          <w:spacing w:val="-1"/>
          <w:lang w:val="es-ES" w:eastAsia="es-ES"/>
        </w:rPr>
        <w:t xml:space="preserve">doptado el 09 de junio del 2005 y publicado en el Diario Extra </w:t>
      </w:r>
      <w:r>
        <w:rPr>
          <w:rStyle w:val="CharacterStyle5"/>
          <w:spacing w:val="-4"/>
          <w:lang w:val="es-ES" w:eastAsia="es-ES"/>
        </w:rPr>
        <w:t>del 27 de setiembre del 2005.</w:t>
      </w:r>
    </w:p>
    <w:p w:rsidR="00000000" w:rsidRDefault="00D46121" w:rsidP="00D34551">
      <w:pPr>
        <w:pStyle w:val="Style5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line="246" w:lineRule="exact"/>
        <w:ind w:firstLine="0"/>
        <w:rPr>
          <w:rStyle w:val="CharacterStyle5"/>
          <w:spacing w:val="-7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Téngase por interpretado en lo aquí dispuesto el acuerdo de la sesión ordinaria No. </w:t>
      </w:r>
      <w:r>
        <w:rPr>
          <w:rStyle w:val="CharacterStyle5"/>
          <w:lang w:val="es-ES" w:eastAsia="es-ES"/>
        </w:rPr>
        <w:t xml:space="preserve">42-2005 adoptado el 09 de junio del 2005 y publicado en el Diario Extra del 27 </w:t>
      </w:r>
      <w:r>
        <w:rPr>
          <w:rStyle w:val="CharacterStyle5"/>
          <w:lang w:val="es-ES" w:eastAsia="es-ES"/>
        </w:rPr>
        <w:t xml:space="preserve">de </w:t>
      </w:r>
      <w:r>
        <w:rPr>
          <w:rStyle w:val="CharacterStyle5"/>
          <w:spacing w:val="-7"/>
          <w:lang w:val="es-ES" w:eastAsia="es-ES"/>
        </w:rPr>
        <w:t>setiembre del 2005.</w:t>
      </w:r>
    </w:p>
    <w:p w:rsidR="00000000" w:rsidRDefault="00D46121">
      <w:pPr>
        <w:pStyle w:val="Style5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144" w:line="233" w:lineRule="exact"/>
        <w:rPr>
          <w:rStyle w:val="CharacterStyle5"/>
          <w:spacing w:val="-7"/>
          <w:lang w:val="es-ES" w:eastAsia="es-ES"/>
        </w:rPr>
      </w:pPr>
      <w:r>
        <w:rPr>
          <w:rStyle w:val="CharacterStyle5"/>
          <w:lang w:val="es-ES" w:eastAsia="es-ES"/>
        </w:rPr>
        <w:t>Por carecer la presente resolución</w:t>
      </w:r>
      <w:r w:rsidR="00D34551">
        <w:rPr>
          <w:rStyle w:val="CharacterStyle5"/>
          <w:lang w:val="es-ES" w:eastAsia="es-ES"/>
        </w:rPr>
        <w:t xml:space="preserve"> de</w:t>
      </w:r>
      <w:r>
        <w:rPr>
          <w:rStyle w:val="CharacterStyle5"/>
          <w:lang w:val="es-ES" w:eastAsia="es-ES"/>
        </w:rPr>
        <w:t xml:space="preserve"> ulterior recurso en sede administrativa, de </w:t>
      </w:r>
      <w:r>
        <w:rPr>
          <w:rStyle w:val="CharacterStyle5"/>
          <w:spacing w:val="-5"/>
          <w:lang w:val="es-ES" w:eastAsia="es-ES"/>
        </w:rPr>
        <w:t xml:space="preserve">conformidad con los artículos 16 y 22 </w:t>
      </w:r>
      <w:proofErr w:type="gramStart"/>
      <w:r w:rsidR="00D34551">
        <w:rPr>
          <w:rStyle w:val="CharacterStyle5"/>
          <w:spacing w:val="-5"/>
          <w:lang w:val="es-ES" w:eastAsia="es-ES"/>
        </w:rPr>
        <w:t>inciso</w:t>
      </w:r>
      <w:proofErr w:type="gramEnd"/>
      <w:r w:rsidR="00D34551">
        <w:rPr>
          <w:rStyle w:val="CharacterStyle5"/>
          <w:spacing w:val="-5"/>
          <w:lang w:val="es-ES" w:eastAsia="es-ES"/>
        </w:rPr>
        <w:t xml:space="preserve"> c) de la Ley 7969, se da por agotada la vía administrativa</w:t>
      </w:r>
      <w:r>
        <w:rPr>
          <w:rStyle w:val="CharacterStyle5"/>
          <w:spacing w:val="-7"/>
          <w:lang w:val="es-ES" w:eastAsia="es-ES"/>
        </w:rPr>
        <w:t>.</w:t>
      </w:r>
    </w:p>
    <w:p w:rsidR="00E922CF" w:rsidRDefault="00E922CF" w:rsidP="00E922CF">
      <w:pPr>
        <w:pStyle w:val="Sinespaciado"/>
        <w:rPr>
          <w:b/>
          <w:sz w:val="23"/>
          <w:szCs w:val="23"/>
          <w:lang w:val="es-ES" w:eastAsia="es-ES"/>
        </w:rPr>
      </w:pPr>
    </w:p>
    <w:p w:rsidR="00E922CF" w:rsidRPr="00997E88" w:rsidRDefault="00E922CF" w:rsidP="00E922CF">
      <w:pPr>
        <w:pStyle w:val="Sinespaciado"/>
        <w:jc w:val="center"/>
        <w:rPr>
          <w:b/>
          <w:i/>
          <w:sz w:val="23"/>
          <w:szCs w:val="23"/>
          <w:lang w:val="es-ES" w:eastAsia="es-ES"/>
        </w:rPr>
      </w:pPr>
      <w:r w:rsidRPr="00997E88">
        <w:rPr>
          <w:b/>
          <w:sz w:val="23"/>
          <w:szCs w:val="23"/>
          <w:lang w:val="es-ES" w:eastAsia="es-ES"/>
        </w:rPr>
        <w:t>Lic. Luis Gerardo Fallas Acosta</w:t>
      </w:r>
    </w:p>
    <w:p w:rsidR="00E922CF" w:rsidRPr="00997E88" w:rsidRDefault="00E922CF" w:rsidP="00E922CF">
      <w:pPr>
        <w:pStyle w:val="Sinespaciado"/>
        <w:jc w:val="center"/>
        <w:rPr>
          <w:b/>
          <w:sz w:val="23"/>
          <w:szCs w:val="23"/>
          <w:lang w:val="es-ES" w:eastAsia="es-ES"/>
        </w:rPr>
      </w:pPr>
      <w:r w:rsidRPr="00997E88">
        <w:rPr>
          <w:b/>
          <w:sz w:val="23"/>
          <w:szCs w:val="23"/>
          <w:lang w:val="es-ES" w:eastAsia="es-ES"/>
        </w:rPr>
        <w:t>Presidente</w:t>
      </w:r>
    </w:p>
    <w:p w:rsidR="00E922CF" w:rsidRPr="00997E88" w:rsidRDefault="00E922CF" w:rsidP="00E922CF">
      <w:pPr>
        <w:pStyle w:val="Sinespaciado"/>
        <w:jc w:val="center"/>
        <w:rPr>
          <w:b/>
          <w:sz w:val="23"/>
          <w:szCs w:val="23"/>
          <w:lang w:val="es-ES" w:eastAsia="es-ES"/>
        </w:rPr>
      </w:pPr>
    </w:p>
    <w:p w:rsidR="00E922CF" w:rsidRPr="00997E88" w:rsidRDefault="00E922CF" w:rsidP="00E922CF">
      <w:pPr>
        <w:pStyle w:val="Sinespaciado"/>
        <w:jc w:val="center"/>
        <w:rPr>
          <w:b/>
          <w:sz w:val="23"/>
          <w:szCs w:val="23"/>
          <w:lang w:val="es-ES" w:eastAsia="es-ES"/>
        </w:rPr>
      </w:pPr>
    </w:p>
    <w:p w:rsidR="00E922CF" w:rsidRPr="00997E88" w:rsidRDefault="00E922CF" w:rsidP="00E922CF">
      <w:pPr>
        <w:pStyle w:val="Sinespaciado"/>
        <w:jc w:val="center"/>
        <w:rPr>
          <w:b/>
          <w:sz w:val="23"/>
          <w:szCs w:val="23"/>
          <w:lang w:val="es-ES" w:eastAsia="es-ES"/>
        </w:rPr>
      </w:pPr>
      <w:r w:rsidRPr="00997E88">
        <w:rPr>
          <w:b/>
          <w:sz w:val="23"/>
          <w:szCs w:val="23"/>
          <w:lang w:val="es-ES" w:eastAsia="es-ES"/>
        </w:rPr>
        <w:t xml:space="preserve">Lic. Carlos Miguel Portuguez Méndez </w:t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  <w:t>Licda. Marta Luz Pérez Peláez</w:t>
      </w:r>
    </w:p>
    <w:p w:rsidR="00E922CF" w:rsidRPr="00997E88" w:rsidRDefault="00E922CF" w:rsidP="00E922CF">
      <w:pPr>
        <w:pStyle w:val="Sinespaciado"/>
        <w:jc w:val="center"/>
        <w:rPr>
          <w:rStyle w:val="CharacterStyle5"/>
          <w:spacing w:val="-3"/>
          <w:lang w:val="es-ES" w:eastAsia="es-ES"/>
        </w:rPr>
      </w:pPr>
      <w:r w:rsidRPr="00997E88">
        <w:rPr>
          <w:b/>
          <w:sz w:val="23"/>
          <w:szCs w:val="23"/>
          <w:lang w:val="es-ES" w:eastAsia="es-ES"/>
        </w:rPr>
        <w:t>Juez</w:t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</w:r>
      <w:r w:rsidRPr="00997E88">
        <w:rPr>
          <w:b/>
          <w:sz w:val="23"/>
          <w:szCs w:val="23"/>
          <w:lang w:val="es-ES" w:eastAsia="es-ES"/>
        </w:rPr>
        <w:tab/>
        <w:t xml:space="preserve">    </w:t>
      </w:r>
      <w:r w:rsidRPr="00997E88">
        <w:rPr>
          <w:b/>
          <w:sz w:val="23"/>
          <w:szCs w:val="23"/>
          <w:lang w:val="es-ES" w:eastAsia="es-ES"/>
        </w:rPr>
        <w:tab/>
        <w:t xml:space="preserve">    Juez</w:t>
      </w:r>
    </w:p>
    <w:p w:rsidR="00D46121" w:rsidRPr="00D34551" w:rsidRDefault="00D46121">
      <w:pPr>
        <w:spacing w:after="180"/>
        <w:ind w:right="114"/>
        <w:jc w:val="center"/>
        <w:rPr>
          <w:lang w:val="es-ES"/>
        </w:rPr>
      </w:pPr>
    </w:p>
    <w:sectPr w:rsidR="00D46121" w:rsidRPr="00D34551" w:rsidSect="009B061A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8869"/>
    <w:multiLevelType w:val="singleLevel"/>
    <w:tmpl w:val="24AC890D"/>
    <w:lvl w:ilvl="0">
      <w:start w:val="4"/>
      <w:numFmt w:val="decimal"/>
      <w:lvlText w:val="%1.-"/>
      <w:lvlJc w:val="left"/>
      <w:pPr>
        <w:tabs>
          <w:tab w:val="num" w:pos="288"/>
        </w:tabs>
        <w:ind w:firstLine="72"/>
      </w:pPr>
      <w:rPr>
        <w:b/>
        <w:bCs/>
        <w:snapToGrid/>
        <w:spacing w:val="-10"/>
        <w:sz w:val="23"/>
        <w:szCs w:val="23"/>
      </w:rPr>
    </w:lvl>
  </w:abstractNum>
  <w:abstractNum w:abstractNumId="1">
    <w:nsid w:val="0374384F"/>
    <w:multiLevelType w:val="singleLevel"/>
    <w:tmpl w:val="10374341"/>
    <w:lvl w:ilvl="0">
      <w:start w:val="1"/>
      <w:numFmt w:val="decimal"/>
      <w:lvlText w:val="%1.-"/>
      <w:lvlJc w:val="left"/>
      <w:pPr>
        <w:tabs>
          <w:tab w:val="num" w:pos="432"/>
        </w:tabs>
        <w:ind w:left="936" w:firstLine="72"/>
      </w:pPr>
      <w:rPr>
        <w:snapToGrid/>
        <w:spacing w:val="-1"/>
        <w:w w:val="105"/>
        <w:sz w:val="23"/>
        <w:szCs w:val="23"/>
      </w:rPr>
    </w:lvl>
  </w:abstractNum>
  <w:abstractNum w:abstractNumId="2">
    <w:nsid w:val="03D359D2"/>
    <w:multiLevelType w:val="singleLevel"/>
    <w:tmpl w:val="2D0238B8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b/>
        <w:bCs/>
        <w:snapToGrid/>
        <w:spacing w:val="-3"/>
        <w:w w:val="105"/>
        <w:sz w:val="23"/>
        <w:szCs w:val="23"/>
      </w:rPr>
    </w:lvl>
  </w:abstractNum>
  <w:abstractNum w:abstractNumId="3">
    <w:nsid w:val="061D81DF"/>
    <w:multiLevelType w:val="singleLevel"/>
    <w:tmpl w:val="A0B023C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b/>
        <w:snapToGrid/>
        <w:spacing w:val="-2"/>
        <w:sz w:val="23"/>
        <w:szCs w:val="23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AA4F0F"/>
    <w:rsid w:val="001D6759"/>
    <w:rsid w:val="004247A8"/>
    <w:rsid w:val="009B061A"/>
    <w:rsid w:val="00AA4F0F"/>
    <w:rsid w:val="00D34551"/>
    <w:rsid w:val="00D46121"/>
    <w:rsid w:val="00E922CF"/>
    <w:rsid w:val="00F6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08"/>
      <w:ind w:firstLine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left="144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180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08" w:line="252" w:lineRule="exact"/>
      <w:ind w:firstLine="72"/>
      <w:jc w:val="both"/>
    </w:pPr>
    <w:rPr>
      <w:sz w:val="23"/>
      <w:szCs w:val="23"/>
    </w:rPr>
  </w:style>
  <w:style w:type="character" w:customStyle="1" w:styleId="CharacterStyle2">
    <w:name w:val="Character Style 2"/>
    <w:uiPriority w:val="99"/>
    <w:rPr>
      <w:sz w:val="25"/>
      <w:szCs w:val="25"/>
    </w:rPr>
  </w:style>
  <w:style w:type="character" w:customStyle="1" w:styleId="CharacterStyle5">
    <w:name w:val="Character Style 5"/>
    <w:uiPriority w:val="99"/>
    <w:rPr>
      <w:sz w:val="23"/>
      <w:szCs w:val="23"/>
    </w:rPr>
  </w:style>
  <w:style w:type="character" w:customStyle="1" w:styleId="CharacterStyle7">
    <w:name w:val="Character Style 7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6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61A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E922CF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1785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7</cp:revision>
  <dcterms:created xsi:type="dcterms:W3CDTF">2012-10-05T19:41:00Z</dcterms:created>
  <dcterms:modified xsi:type="dcterms:W3CDTF">2012-10-05T20:57:00Z</dcterms:modified>
</cp:coreProperties>
</file>